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1F3" w:rsidRPr="00340957" w:rsidRDefault="00FB51F3" w:rsidP="00FB51F3">
      <w:pPr>
        <w:jc w:val="center"/>
        <w:rPr>
          <w:rFonts w:ascii="Palatino" w:hAnsi="Palatino"/>
          <w:b/>
          <w:sz w:val="22"/>
          <w:szCs w:val="22"/>
        </w:rPr>
      </w:pPr>
      <w:r w:rsidRPr="00340957">
        <w:rPr>
          <w:rFonts w:ascii="Palatino" w:hAnsi="Palatino"/>
          <w:b/>
          <w:sz w:val="22"/>
          <w:szCs w:val="22"/>
        </w:rPr>
        <w:t>Agreement between</w:t>
      </w:r>
    </w:p>
    <w:p w:rsidR="00FB51F3" w:rsidRPr="00340957" w:rsidRDefault="00FB51F3" w:rsidP="00FB51F3">
      <w:pPr>
        <w:jc w:val="center"/>
        <w:rPr>
          <w:rFonts w:ascii="Palatino" w:hAnsi="Palatino"/>
          <w:b/>
          <w:sz w:val="22"/>
          <w:szCs w:val="22"/>
        </w:rPr>
      </w:pPr>
      <w:r w:rsidRPr="00340957">
        <w:rPr>
          <w:rFonts w:ascii="Palatino" w:hAnsi="Palatino"/>
          <w:b/>
          <w:sz w:val="22"/>
          <w:szCs w:val="22"/>
        </w:rPr>
        <w:t>Cincinnati State Technical and Community College</w:t>
      </w:r>
    </w:p>
    <w:p w:rsidR="00FB51F3" w:rsidRPr="00340957" w:rsidRDefault="00FB51F3" w:rsidP="00FB51F3">
      <w:pPr>
        <w:jc w:val="center"/>
        <w:rPr>
          <w:rFonts w:ascii="Palatino" w:hAnsi="Palatino"/>
          <w:b/>
          <w:sz w:val="22"/>
          <w:szCs w:val="22"/>
        </w:rPr>
      </w:pPr>
      <w:proofErr w:type="gramStart"/>
      <w:r w:rsidRPr="00340957">
        <w:rPr>
          <w:rFonts w:ascii="Palatino" w:hAnsi="Palatino"/>
          <w:b/>
          <w:sz w:val="22"/>
          <w:szCs w:val="22"/>
        </w:rPr>
        <w:t>and</w:t>
      </w:r>
      <w:proofErr w:type="gramEnd"/>
    </w:p>
    <w:p w:rsidR="00FB51F3" w:rsidRPr="00340957" w:rsidRDefault="00FB51F3" w:rsidP="00FB51F3">
      <w:pPr>
        <w:jc w:val="center"/>
        <w:rPr>
          <w:rFonts w:ascii="Palatino" w:hAnsi="Palatino"/>
          <w:b/>
          <w:sz w:val="22"/>
          <w:szCs w:val="22"/>
        </w:rPr>
      </w:pPr>
      <w:r w:rsidRPr="00340957">
        <w:rPr>
          <w:rFonts w:ascii="Palatino" w:hAnsi="Palatino"/>
          <w:b/>
          <w:sz w:val="22"/>
          <w:szCs w:val="22"/>
        </w:rPr>
        <w:t>American Association of University Professors</w:t>
      </w:r>
    </w:p>
    <w:p w:rsidR="00FB51F3" w:rsidRPr="00340957" w:rsidRDefault="00FB51F3" w:rsidP="00FB51F3">
      <w:pPr>
        <w:jc w:val="center"/>
        <w:rPr>
          <w:rFonts w:ascii="Palatino" w:hAnsi="Palatino"/>
          <w:b/>
          <w:sz w:val="22"/>
          <w:szCs w:val="22"/>
        </w:rPr>
      </w:pPr>
      <w:r w:rsidRPr="00340957">
        <w:rPr>
          <w:rFonts w:ascii="Palatino" w:hAnsi="Palatino"/>
          <w:b/>
          <w:sz w:val="22"/>
          <w:szCs w:val="22"/>
        </w:rPr>
        <w:t>Cincinnati State Technical and Community College Chapter</w:t>
      </w:r>
    </w:p>
    <w:p w:rsidR="00FB51F3" w:rsidRPr="00340957" w:rsidRDefault="00FB51F3" w:rsidP="00FB51F3">
      <w:pPr>
        <w:jc w:val="center"/>
        <w:rPr>
          <w:rFonts w:ascii="Palatino" w:hAnsi="Palatino"/>
          <w:b/>
          <w:sz w:val="22"/>
          <w:szCs w:val="22"/>
        </w:rPr>
      </w:pPr>
    </w:p>
    <w:p w:rsidR="00FB51F3" w:rsidRPr="00340957" w:rsidRDefault="00FB51F3" w:rsidP="00FB51F3">
      <w:pPr>
        <w:jc w:val="center"/>
        <w:rPr>
          <w:rFonts w:ascii="Palatino" w:hAnsi="Palatino"/>
          <w:b/>
          <w:sz w:val="22"/>
          <w:szCs w:val="22"/>
        </w:rPr>
      </w:pPr>
      <w:r w:rsidRPr="00340957">
        <w:rPr>
          <w:rFonts w:ascii="Palatino" w:hAnsi="Palatino"/>
          <w:b/>
          <w:sz w:val="22"/>
          <w:szCs w:val="22"/>
        </w:rPr>
        <w:t>MEMORANDUM OF UNDERSTANDING</w:t>
      </w:r>
    </w:p>
    <w:p w:rsidR="00FB51F3" w:rsidRPr="00340957" w:rsidRDefault="00FB51F3" w:rsidP="00FB51F3">
      <w:pPr>
        <w:jc w:val="center"/>
        <w:rPr>
          <w:rFonts w:ascii="Palatino" w:hAnsi="Palatino"/>
          <w:b/>
          <w:sz w:val="22"/>
          <w:szCs w:val="22"/>
        </w:rPr>
      </w:pPr>
      <w:r>
        <w:rPr>
          <w:rFonts w:ascii="Palatino" w:hAnsi="Palatino"/>
          <w:b/>
          <w:sz w:val="22"/>
          <w:szCs w:val="22"/>
        </w:rPr>
        <w:t>Distance Education Course Transition for Semesters</w:t>
      </w:r>
    </w:p>
    <w:p w:rsidR="00FB51F3" w:rsidRPr="00340957" w:rsidRDefault="00FB51F3" w:rsidP="00FB51F3">
      <w:pPr>
        <w:rPr>
          <w:rFonts w:ascii="Palatino" w:hAnsi="Palatino"/>
          <w:sz w:val="22"/>
          <w:szCs w:val="22"/>
        </w:rPr>
      </w:pPr>
    </w:p>
    <w:p w:rsidR="00FB51F3" w:rsidRPr="00340957" w:rsidRDefault="00FB51F3" w:rsidP="00FB51F3">
      <w:pPr>
        <w:rPr>
          <w:rFonts w:ascii="Palatino" w:hAnsi="Palatino"/>
          <w:sz w:val="22"/>
          <w:szCs w:val="22"/>
        </w:rPr>
      </w:pPr>
      <w:r w:rsidRPr="00340957">
        <w:rPr>
          <w:rFonts w:ascii="Palatino" w:hAnsi="Palatino"/>
          <w:sz w:val="22"/>
          <w:szCs w:val="22"/>
        </w:rPr>
        <w:t xml:space="preserve">With respect to Article </w:t>
      </w:r>
      <w:r>
        <w:rPr>
          <w:rFonts w:ascii="Palatino" w:hAnsi="Palatino"/>
          <w:sz w:val="22"/>
          <w:szCs w:val="22"/>
        </w:rPr>
        <w:t xml:space="preserve">10 </w:t>
      </w:r>
      <w:r w:rsidRPr="00340957">
        <w:rPr>
          <w:rFonts w:ascii="Palatino" w:hAnsi="Palatino"/>
          <w:sz w:val="22"/>
          <w:szCs w:val="22"/>
        </w:rPr>
        <w:t>(B)</w:t>
      </w:r>
      <w:r>
        <w:rPr>
          <w:rFonts w:ascii="Palatino" w:hAnsi="Palatino"/>
          <w:sz w:val="22"/>
          <w:szCs w:val="22"/>
        </w:rPr>
        <w:t xml:space="preserve"> </w:t>
      </w:r>
      <w:r w:rsidRPr="00340957">
        <w:rPr>
          <w:rFonts w:ascii="Palatino" w:hAnsi="Palatino"/>
          <w:sz w:val="22"/>
          <w:szCs w:val="22"/>
        </w:rPr>
        <w:t>of the Collective Bargaining Agreement, Cincinnati State Technical and Community College and the Cincinnati State Technical and Community College Chapter, American Association of University Professors, hereby agree as follows:</w:t>
      </w:r>
    </w:p>
    <w:p w:rsidR="00FB51F3" w:rsidRPr="00340957" w:rsidRDefault="00FB51F3" w:rsidP="00FB51F3">
      <w:pPr>
        <w:rPr>
          <w:rFonts w:ascii="Palatino" w:hAnsi="Palatino"/>
          <w:sz w:val="22"/>
          <w:szCs w:val="22"/>
        </w:rPr>
      </w:pPr>
    </w:p>
    <w:p w:rsidR="00FB51F3" w:rsidRPr="00404B53" w:rsidRDefault="00404B53" w:rsidP="00404B53">
      <w:pPr>
        <w:numPr>
          <w:ilvl w:val="0"/>
          <w:numId w:val="1"/>
        </w:numPr>
        <w:rPr>
          <w:rFonts w:ascii="Palatino" w:hAnsi="Palatino"/>
          <w:sz w:val="22"/>
          <w:szCs w:val="22"/>
        </w:rPr>
      </w:pPr>
      <w:r>
        <w:rPr>
          <w:rFonts w:ascii="Palatino" w:hAnsi="Palatino"/>
          <w:sz w:val="22"/>
          <w:szCs w:val="22"/>
        </w:rPr>
        <w:t xml:space="preserve">Distance education </w:t>
      </w:r>
      <w:proofErr w:type="gramStart"/>
      <w:r>
        <w:rPr>
          <w:rFonts w:ascii="Palatino" w:hAnsi="Palatino"/>
          <w:sz w:val="22"/>
          <w:szCs w:val="22"/>
        </w:rPr>
        <w:t>c</w:t>
      </w:r>
      <w:r w:rsidR="00FB51F3">
        <w:rPr>
          <w:rFonts w:ascii="Palatino" w:hAnsi="Palatino"/>
          <w:sz w:val="22"/>
          <w:szCs w:val="22"/>
        </w:rPr>
        <w:t>ourses which</w:t>
      </w:r>
      <w:proofErr w:type="gramEnd"/>
      <w:r w:rsidR="00FB51F3">
        <w:rPr>
          <w:rFonts w:ascii="Palatino" w:hAnsi="Palatino"/>
          <w:sz w:val="22"/>
          <w:szCs w:val="22"/>
        </w:rPr>
        <w:t xml:space="preserve"> were developed under the provisions of Article 10 for terms, and </w:t>
      </w:r>
      <w:r w:rsidR="003007E0">
        <w:rPr>
          <w:rFonts w:ascii="Palatino" w:hAnsi="Palatino"/>
          <w:sz w:val="22"/>
          <w:szCs w:val="22"/>
        </w:rPr>
        <w:t>have been transitioned</w:t>
      </w:r>
      <w:bookmarkStart w:id="0" w:name="_GoBack"/>
      <w:bookmarkEnd w:id="0"/>
      <w:r w:rsidR="003007E0">
        <w:rPr>
          <w:rFonts w:ascii="Palatino" w:hAnsi="Palatino"/>
          <w:sz w:val="22"/>
          <w:szCs w:val="22"/>
        </w:rPr>
        <w:t xml:space="preserve"> or </w:t>
      </w:r>
      <w:r w:rsidR="00FB51F3">
        <w:rPr>
          <w:rFonts w:ascii="Palatino" w:hAnsi="Palatino"/>
          <w:sz w:val="22"/>
          <w:szCs w:val="22"/>
        </w:rPr>
        <w:t>are being transitioned to semesters, shall be subject to the provisions below.</w:t>
      </w:r>
      <w:r w:rsidR="00FB51F3" w:rsidRPr="00340957">
        <w:rPr>
          <w:rFonts w:ascii="Palatino" w:hAnsi="Palatino"/>
          <w:sz w:val="22"/>
          <w:szCs w:val="22"/>
        </w:rPr>
        <w:t xml:space="preserve"> </w:t>
      </w:r>
      <w:r w:rsidR="00FB51F3">
        <w:rPr>
          <w:rFonts w:ascii="Palatino" w:hAnsi="Palatino"/>
          <w:sz w:val="22"/>
          <w:szCs w:val="22"/>
        </w:rPr>
        <w:t>These courses are identified in categories A, B, and C in the attached table.</w:t>
      </w:r>
      <w:r>
        <w:rPr>
          <w:rFonts w:ascii="Palatino" w:hAnsi="Palatino"/>
          <w:sz w:val="22"/>
          <w:szCs w:val="22"/>
        </w:rPr>
        <w:t xml:space="preserve"> </w:t>
      </w:r>
      <w:r w:rsidR="00FB51F3" w:rsidRPr="00404B53">
        <w:rPr>
          <w:rFonts w:ascii="Palatino" w:hAnsi="Palatino"/>
          <w:sz w:val="22"/>
          <w:szCs w:val="22"/>
        </w:rPr>
        <w:br/>
      </w:r>
    </w:p>
    <w:p w:rsidR="00FB51F3" w:rsidRDefault="00404B53" w:rsidP="00FB51F3">
      <w:pPr>
        <w:numPr>
          <w:ilvl w:val="0"/>
          <w:numId w:val="1"/>
        </w:numPr>
        <w:rPr>
          <w:rFonts w:ascii="Palatino" w:hAnsi="Palatino"/>
          <w:sz w:val="22"/>
          <w:szCs w:val="22"/>
        </w:rPr>
      </w:pPr>
      <w:r>
        <w:rPr>
          <w:rFonts w:ascii="Palatino" w:hAnsi="Palatino"/>
          <w:sz w:val="22"/>
          <w:szCs w:val="22"/>
        </w:rPr>
        <w:t>Faculty members who transition distance education courses from term</w:t>
      </w:r>
      <w:r w:rsidR="00C75A07">
        <w:rPr>
          <w:rFonts w:ascii="Palatino" w:hAnsi="Palatino"/>
          <w:sz w:val="22"/>
          <w:szCs w:val="22"/>
        </w:rPr>
        <w:t>s</w:t>
      </w:r>
      <w:r>
        <w:rPr>
          <w:rFonts w:ascii="Palatino" w:hAnsi="Palatino"/>
          <w:sz w:val="22"/>
          <w:szCs w:val="22"/>
        </w:rPr>
        <w:t xml:space="preserve"> to semesters will be compensated for this work </w:t>
      </w:r>
      <w:r w:rsidR="003514E3">
        <w:rPr>
          <w:rFonts w:ascii="Palatino" w:hAnsi="Palatino"/>
          <w:sz w:val="22"/>
          <w:szCs w:val="22"/>
        </w:rPr>
        <w:t xml:space="preserve">using the rates shown </w:t>
      </w:r>
      <w:r w:rsidR="00C75A07">
        <w:rPr>
          <w:rFonts w:ascii="Palatino" w:hAnsi="Palatino"/>
          <w:sz w:val="22"/>
          <w:szCs w:val="22"/>
        </w:rPr>
        <w:t>in</w:t>
      </w:r>
      <w:r w:rsidR="003514E3">
        <w:rPr>
          <w:rFonts w:ascii="Palatino" w:hAnsi="Palatino"/>
          <w:sz w:val="22"/>
          <w:szCs w:val="22"/>
        </w:rPr>
        <w:t xml:space="preserve"> the attached table.</w:t>
      </w:r>
      <w:r w:rsidR="003514E3">
        <w:rPr>
          <w:rFonts w:ascii="Palatino" w:hAnsi="Palatino"/>
          <w:sz w:val="22"/>
          <w:szCs w:val="22"/>
        </w:rPr>
        <w:br/>
      </w:r>
    </w:p>
    <w:p w:rsidR="00535A4F" w:rsidRDefault="003514E3" w:rsidP="00FB51F3">
      <w:pPr>
        <w:numPr>
          <w:ilvl w:val="0"/>
          <w:numId w:val="1"/>
        </w:numPr>
        <w:rPr>
          <w:rFonts w:ascii="Palatino" w:hAnsi="Palatino"/>
          <w:sz w:val="22"/>
          <w:szCs w:val="22"/>
        </w:rPr>
      </w:pPr>
      <w:r>
        <w:rPr>
          <w:rFonts w:ascii="Palatino" w:hAnsi="Palatino"/>
          <w:sz w:val="22"/>
          <w:szCs w:val="22"/>
        </w:rPr>
        <w:t>Faculty members who transition distance education courses from terms to semesters will sign a written agreement</w:t>
      </w:r>
      <w:r w:rsidR="00535A4F">
        <w:rPr>
          <w:rFonts w:ascii="Palatino" w:hAnsi="Palatino"/>
          <w:sz w:val="22"/>
          <w:szCs w:val="22"/>
        </w:rPr>
        <w:t xml:space="preserve"> that specifies the course to be transitioned; the schedule for completion; and the conditions of ownership, including possible ongoing payment for course maintenance activities</w:t>
      </w:r>
      <w:r>
        <w:rPr>
          <w:rFonts w:ascii="Palatino" w:hAnsi="Palatino"/>
          <w:sz w:val="22"/>
          <w:szCs w:val="22"/>
        </w:rPr>
        <w:t>.</w:t>
      </w:r>
      <w:r w:rsidR="00535A4F">
        <w:rPr>
          <w:rFonts w:ascii="Palatino" w:hAnsi="Palatino"/>
          <w:sz w:val="22"/>
          <w:szCs w:val="22"/>
        </w:rPr>
        <w:br/>
      </w:r>
    </w:p>
    <w:p w:rsidR="00E023A6" w:rsidRDefault="00535A4F" w:rsidP="00FB51F3">
      <w:pPr>
        <w:numPr>
          <w:ilvl w:val="0"/>
          <w:numId w:val="1"/>
        </w:numPr>
        <w:rPr>
          <w:rFonts w:ascii="Palatino" w:hAnsi="Palatino"/>
          <w:sz w:val="22"/>
          <w:szCs w:val="22"/>
        </w:rPr>
      </w:pPr>
      <w:r>
        <w:rPr>
          <w:rFonts w:ascii="Palatino" w:hAnsi="Palatino"/>
          <w:sz w:val="22"/>
          <w:szCs w:val="22"/>
        </w:rPr>
        <w:t>The development of any distance education courses for semesters which are not specifically addressed by this agreement will be compensated as described in Article 10 (B), and will adhere to the “Principles and Processes” agreed to on March 29, 2012, by the AAUP and the College Administration.</w:t>
      </w:r>
    </w:p>
    <w:p w:rsidR="0033529E" w:rsidRDefault="00E023A6" w:rsidP="0033529E">
      <w:pPr>
        <w:tabs>
          <w:tab w:val="left" w:pos="6840"/>
        </w:tabs>
        <w:jc w:val="center"/>
        <w:rPr>
          <w:rFonts w:ascii="Palatino" w:hAnsi="Palatino"/>
          <w:b/>
          <w:sz w:val="22"/>
          <w:szCs w:val="22"/>
        </w:rPr>
      </w:pPr>
      <w:r>
        <w:rPr>
          <w:rFonts w:ascii="Palatino" w:hAnsi="Palatino"/>
          <w:sz w:val="22"/>
          <w:szCs w:val="22"/>
        </w:rPr>
        <w:br w:type="page"/>
      </w:r>
      <w:r w:rsidR="0033529E" w:rsidRPr="0033529E">
        <w:rPr>
          <w:rFonts w:ascii="Palatino" w:hAnsi="Palatino"/>
          <w:b/>
          <w:sz w:val="22"/>
          <w:szCs w:val="22"/>
        </w:rPr>
        <w:t xml:space="preserve">Compensation Rates for </w:t>
      </w:r>
      <w:r w:rsidR="0033529E">
        <w:rPr>
          <w:rFonts w:ascii="Palatino" w:hAnsi="Palatino"/>
          <w:b/>
          <w:sz w:val="22"/>
          <w:szCs w:val="22"/>
        </w:rPr>
        <w:t xml:space="preserve">Distance Education Courses </w:t>
      </w:r>
      <w:r w:rsidR="0033529E">
        <w:rPr>
          <w:rFonts w:ascii="Palatino" w:hAnsi="Palatino"/>
          <w:b/>
          <w:sz w:val="22"/>
          <w:szCs w:val="22"/>
        </w:rPr>
        <w:br/>
        <w:t>Transitioning from Terms to Semesters</w:t>
      </w:r>
    </w:p>
    <w:p w:rsidR="00E023A6" w:rsidRPr="00340957" w:rsidRDefault="00E023A6" w:rsidP="00E023A6">
      <w:pPr>
        <w:ind w:left="360"/>
        <w:rPr>
          <w:rFonts w:ascii="Palatino" w:hAnsi="Palatin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8"/>
        <w:gridCol w:w="3150"/>
      </w:tblGrid>
      <w:tr w:rsidR="00E023A6" w:rsidRPr="00456545">
        <w:tc>
          <w:tcPr>
            <w:tcW w:w="5418" w:type="dxa"/>
          </w:tcPr>
          <w:p w:rsidR="00E023A6" w:rsidRPr="00456545" w:rsidRDefault="00E023A6" w:rsidP="00E023A6">
            <w:pPr>
              <w:rPr>
                <w:b/>
                <w:sz w:val="22"/>
                <w:szCs w:val="24"/>
              </w:rPr>
            </w:pPr>
            <w:r w:rsidRPr="00456545">
              <w:rPr>
                <w:b/>
                <w:sz w:val="22"/>
                <w:szCs w:val="24"/>
              </w:rPr>
              <w:t>Course Level and Content Source</w:t>
            </w:r>
          </w:p>
          <w:p w:rsidR="00E023A6" w:rsidRPr="00456545" w:rsidRDefault="00E023A6" w:rsidP="00E023A6">
            <w:pPr>
              <w:rPr>
                <w:sz w:val="22"/>
                <w:szCs w:val="24"/>
              </w:rPr>
            </w:pPr>
            <w:r w:rsidRPr="00456545">
              <w:rPr>
                <w:sz w:val="22"/>
                <w:szCs w:val="24"/>
              </w:rPr>
              <w:t>(</w:t>
            </w:r>
            <w:proofErr w:type="gramStart"/>
            <w:r w:rsidRPr="00456545">
              <w:rPr>
                <w:sz w:val="22"/>
                <w:szCs w:val="24"/>
              </w:rPr>
              <w:t>explanations</w:t>
            </w:r>
            <w:proofErr w:type="gramEnd"/>
            <w:r w:rsidRPr="00456545">
              <w:rPr>
                <w:sz w:val="22"/>
                <w:szCs w:val="24"/>
              </w:rPr>
              <w:t xml:space="preserve"> below)</w:t>
            </w:r>
          </w:p>
        </w:tc>
        <w:tc>
          <w:tcPr>
            <w:tcW w:w="3150" w:type="dxa"/>
          </w:tcPr>
          <w:p w:rsidR="00E023A6" w:rsidRPr="00456545" w:rsidRDefault="00E023A6" w:rsidP="00E023A6">
            <w:pPr>
              <w:rPr>
                <w:b/>
                <w:sz w:val="22"/>
                <w:szCs w:val="24"/>
              </w:rPr>
            </w:pPr>
            <w:r w:rsidRPr="00456545">
              <w:rPr>
                <w:b/>
                <w:sz w:val="22"/>
                <w:szCs w:val="24"/>
              </w:rPr>
              <w:t xml:space="preserve">$ </w:t>
            </w:r>
            <w:proofErr w:type="gramStart"/>
            <w:r w:rsidRPr="00456545">
              <w:rPr>
                <w:b/>
                <w:sz w:val="22"/>
                <w:szCs w:val="24"/>
              </w:rPr>
              <w:t>per</w:t>
            </w:r>
            <w:proofErr w:type="gramEnd"/>
            <w:r w:rsidRPr="00456545">
              <w:rPr>
                <w:b/>
                <w:sz w:val="22"/>
                <w:szCs w:val="24"/>
              </w:rPr>
              <w:t xml:space="preserve"> course development unit</w:t>
            </w:r>
          </w:p>
        </w:tc>
      </w:tr>
      <w:tr w:rsidR="00E023A6" w:rsidRPr="00456545">
        <w:tc>
          <w:tcPr>
            <w:tcW w:w="5418" w:type="dxa"/>
          </w:tcPr>
          <w:p w:rsidR="00E023A6" w:rsidRPr="00456545" w:rsidRDefault="00E023A6">
            <w:pPr>
              <w:rPr>
                <w:sz w:val="22"/>
                <w:szCs w:val="24"/>
              </w:rPr>
            </w:pPr>
            <w:r w:rsidRPr="00456545">
              <w:rPr>
                <w:sz w:val="22"/>
                <w:szCs w:val="24"/>
              </w:rPr>
              <w:t>A1</w:t>
            </w:r>
          </w:p>
        </w:tc>
        <w:tc>
          <w:tcPr>
            <w:tcW w:w="3150" w:type="dxa"/>
          </w:tcPr>
          <w:p w:rsidR="00E023A6" w:rsidRPr="00456545" w:rsidRDefault="00E023A6">
            <w:pPr>
              <w:rPr>
                <w:sz w:val="22"/>
                <w:szCs w:val="24"/>
              </w:rPr>
            </w:pPr>
            <w:r w:rsidRPr="00456545">
              <w:rPr>
                <w:sz w:val="22"/>
                <w:szCs w:val="24"/>
              </w:rPr>
              <w:t>$ 34</w:t>
            </w:r>
          </w:p>
        </w:tc>
      </w:tr>
      <w:tr w:rsidR="00E023A6" w:rsidRPr="00456545">
        <w:tc>
          <w:tcPr>
            <w:tcW w:w="5418" w:type="dxa"/>
          </w:tcPr>
          <w:p w:rsidR="00E023A6" w:rsidRPr="00456545" w:rsidRDefault="00E023A6" w:rsidP="0033529E">
            <w:pPr>
              <w:rPr>
                <w:sz w:val="22"/>
                <w:szCs w:val="24"/>
              </w:rPr>
            </w:pPr>
            <w:r w:rsidRPr="00456545">
              <w:rPr>
                <w:sz w:val="22"/>
                <w:szCs w:val="24"/>
              </w:rPr>
              <w:t>A2</w:t>
            </w:r>
            <w:r w:rsidR="0033529E">
              <w:rPr>
                <w:sz w:val="22"/>
                <w:szCs w:val="24"/>
              </w:rPr>
              <w:t xml:space="preserve"> and </w:t>
            </w:r>
            <w:r w:rsidRPr="00456545">
              <w:rPr>
                <w:sz w:val="22"/>
                <w:szCs w:val="24"/>
              </w:rPr>
              <w:t>B1</w:t>
            </w:r>
          </w:p>
        </w:tc>
        <w:tc>
          <w:tcPr>
            <w:tcW w:w="3150" w:type="dxa"/>
          </w:tcPr>
          <w:p w:rsidR="00E023A6" w:rsidRPr="00456545" w:rsidRDefault="00E023A6">
            <w:pPr>
              <w:rPr>
                <w:sz w:val="22"/>
                <w:szCs w:val="24"/>
              </w:rPr>
            </w:pPr>
            <w:r w:rsidRPr="00456545">
              <w:rPr>
                <w:sz w:val="22"/>
                <w:szCs w:val="24"/>
              </w:rPr>
              <w:t>$ 68</w:t>
            </w:r>
          </w:p>
        </w:tc>
      </w:tr>
      <w:tr w:rsidR="00E023A6" w:rsidRPr="00456545">
        <w:tc>
          <w:tcPr>
            <w:tcW w:w="5418" w:type="dxa"/>
          </w:tcPr>
          <w:p w:rsidR="00E023A6" w:rsidRPr="00456545" w:rsidRDefault="00E023A6">
            <w:pPr>
              <w:rPr>
                <w:sz w:val="22"/>
                <w:szCs w:val="24"/>
              </w:rPr>
            </w:pPr>
            <w:r w:rsidRPr="00456545">
              <w:rPr>
                <w:sz w:val="22"/>
                <w:szCs w:val="24"/>
              </w:rPr>
              <w:t xml:space="preserve">A3, B2, </w:t>
            </w:r>
            <w:r w:rsidR="0033529E">
              <w:rPr>
                <w:sz w:val="22"/>
                <w:szCs w:val="24"/>
              </w:rPr>
              <w:t xml:space="preserve">and </w:t>
            </w:r>
            <w:r w:rsidRPr="00456545">
              <w:rPr>
                <w:sz w:val="22"/>
                <w:szCs w:val="24"/>
              </w:rPr>
              <w:t>C1</w:t>
            </w:r>
          </w:p>
        </w:tc>
        <w:tc>
          <w:tcPr>
            <w:tcW w:w="3150" w:type="dxa"/>
          </w:tcPr>
          <w:p w:rsidR="00E023A6" w:rsidRPr="00456545" w:rsidRDefault="00E023A6">
            <w:pPr>
              <w:rPr>
                <w:sz w:val="22"/>
                <w:szCs w:val="24"/>
              </w:rPr>
            </w:pPr>
            <w:r w:rsidRPr="00456545">
              <w:rPr>
                <w:sz w:val="22"/>
                <w:szCs w:val="24"/>
              </w:rPr>
              <w:t>$102</w:t>
            </w:r>
          </w:p>
        </w:tc>
      </w:tr>
      <w:tr w:rsidR="00E023A6" w:rsidRPr="00456545">
        <w:tc>
          <w:tcPr>
            <w:tcW w:w="5418" w:type="dxa"/>
          </w:tcPr>
          <w:p w:rsidR="00E023A6" w:rsidRPr="00456545" w:rsidRDefault="00E023A6" w:rsidP="0033529E">
            <w:pPr>
              <w:rPr>
                <w:sz w:val="22"/>
                <w:szCs w:val="24"/>
              </w:rPr>
            </w:pPr>
            <w:r w:rsidRPr="00456545">
              <w:rPr>
                <w:sz w:val="22"/>
                <w:szCs w:val="24"/>
              </w:rPr>
              <w:t>B3</w:t>
            </w:r>
            <w:r w:rsidR="0033529E">
              <w:rPr>
                <w:sz w:val="22"/>
                <w:szCs w:val="24"/>
              </w:rPr>
              <w:t xml:space="preserve"> and</w:t>
            </w:r>
            <w:r w:rsidRPr="00456545">
              <w:rPr>
                <w:sz w:val="22"/>
                <w:szCs w:val="24"/>
              </w:rPr>
              <w:t xml:space="preserve"> C2</w:t>
            </w:r>
          </w:p>
        </w:tc>
        <w:tc>
          <w:tcPr>
            <w:tcW w:w="3150" w:type="dxa"/>
          </w:tcPr>
          <w:p w:rsidR="00E023A6" w:rsidRPr="00456545" w:rsidRDefault="00E023A6">
            <w:pPr>
              <w:rPr>
                <w:sz w:val="22"/>
                <w:szCs w:val="24"/>
              </w:rPr>
            </w:pPr>
            <w:r w:rsidRPr="00456545">
              <w:rPr>
                <w:sz w:val="22"/>
                <w:szCs w:val="24"/>
              </w:rPr>
              <w:t>$136</w:t>
            </w:r>
          </w:p>
        </w:tc>
      </w:tr>
      <w:tr w:rsidR="00E023A6" w:rsidRPr="00456545">
        <w:tc>
          <w:tcPr>
            <w:tcW w:w="5418" w:type="dxa"/>
          </w:tcPr>
          <w:p w:rsidR="00E023A6" w:rsidRPr="00456545" w:rsidRDefault="00E023A6">
            <w:pPr>
              <w:rPr>
                <w:sz w:val="22"/>
                <w:szCs w:val="24"/>
              </w:rPr>
            </w:pPr>
            <w:r w:rsidRPr="00456545">
              <w:rPr>
                <w:sz w:val="22"/>
                <w:szCs w:val="24"/>
              </w:rPr>
              <w:t>C3</w:t>
            </w:r>
          </w:p>
        </w:tc>
        <w:tc>
          <w:tcPr>
            <w:tcW w:w="3150" w:type="dxa"/>
          </w:tcPr>
          <w:p w:rsidR="00E023A6" w:rsidRPr="00456545" w:rsidRDefault="00456545" w:rsidP="00E023A6">
            <w:pPr>
              <w:jc w:val="both"/>
              <w:rPr>
                <w:sz w:val="22"/>
                <w:szCs w:val="24"/>
              </w:rPr>
            </w:pPr>
            <w:r>
              <w:rPr>
                <w:sz w:val="22"/>
                <w:szCs w:val="24"/>
              </w:rPr>
              <w:t>$</w:t>
            </w:r>
            <w:r w:rsidR="00E023A6" w:rsidRPr="00456545">
              <w:rPr>
                <w:sz w:val="22"/>
                <w:szCs w:val="24"/>
              </w:rPr>
              <w:t>170</w:t>
            </w:r>
          </w:p>
        </w:tc>
      </w:tr>
    </w:tbl>
    <w:p w:rsidR="00E023A6" w:rsidRPr="00456545" w:rsidRDefault="00E023A6" w:rsidP="00E023A6">
      <w:pPr>
        <w:ind w:left="360"/>
        <w:rPr>
          <w:sz w:val="22"/>
          <w:szCs w:val="24"/>
        </w:rPr>
      </w:pPr>
    </w:p>
    <w:p w:rsidR="00E023A6" w:rsidRPr="00456545" w:rsidRDefault="00E023A6" w:rsidP="00312926">
      <w:pPr>
        <w:rPr>
          <w:b/>
          <w:sz w:val="22"/>
          <w:szCs w:val="24"/>
        </w:rPr>
      </w:pPr>
      <w:r w:rsidRPr="00456545">
        <w:rPr>
          <w:b/>
          <w:sz w:val="22"/>
          <w:szCs w:val="24"/>
        </w:rPr>
        <w:t>Course development levels:</w:t>
      </w:r>
    </w:p>
    <w:p w:rsidR="00E023A6" w:rsidRPr="00456545" w:rsidRDefault="00E023A6" w:rsidP="00312926">
      <w:pPr>
        <w:ind w:left="630" w:hanging="270"/>
        <w:rPr>
          <w:sz w:val="22"/>
          <w:szCs w:val="24"/>
        </w:rPr>
      </w:pPr>
      <w:r w:rsidRPr="00456545">
        <w:rPr>
          <w:sz w:val="22"/>
          <w:szCs w:val="24"/>
        </w:rPr>
        <w:t>A. Almost all of the online course content already exists, but content needs to be reorganized/rearranged to fit the 15-week semester format, and/or a small amount of new online content needs to be created.</w:t>
      </w:r>
    </w:p>
    <w:p w:rsidR="00E023A6" w:rsidRPr="00456545" w:rsidRDefault="00E023A6" w:rsidP="00312926">
      <w:pPr>
        <w:ind w:left="630" w:hanging="270"/>
        <w:rPr>
          <w:sz w:val="22"/>
          <w:szCs w:val="24"/>
        </w:rPr>
      </w:pPr>
      <w:r w:rsidRPr="00456545">
        <w:rPr>
          <w:sz w:val="22"/>
          <w:szCs w:val="24"/>
        </w:rPr>
        <w:t>B. About 60% of the online content already exists, but an additional 40% of new content needs to be created and integrated appropriately with existing content.</w:t>
      </w:r>
    </w:p>
    <w:p w:rsidR="00E023A6" w:rsidRPr="00456545" w:rsidRDefault="00E023A6" w:rsidP="00312926">
      <w:pPr>
        <w:ind w:left="630" w:hanging="270"/>
        <w:rPr>
          <w:sz w:val="22"/>
          <w:szCs w:val="24"/>
        </w:rPr>
      </w:pPr>
      <w:r w:rsidRPr="00456545">
        <w:rPr>
          <w:sz w:val="22"/>
          <w:szCs w:val="24"/>
        </w:rPr>
        <w:t>C. Less than 60% of the online course content already exists; the rest of the content is new material that has not been offered previously in an online format.</w:t>
      </w:r>
    </w:p>
    <w:p w:rsidR="00E023A6" w:rsidRPr="00456545" w:rsidRDefault="00E023A6" w:rsidP="00312926">
      <w:pPr>
        <w:ind w:left="630" w:hanging="270"/>
        <w:rPr>
          <w:sz w:val="22"/>
          <w:szCs w:val="24"/>
        </w:rPr>
      </w:pPr>
      <w:r w:rsidRPr="00456545">
        <w:rPr>
          <w:sz w:val="22"/>
          <w:szCs w:val="24"/>
        </w:rPr>
        <w:t>D. This is an entirely new online course; none of the content has been offered previously in an online format.</w:t>
      </w:r>
    </w:p>
    <w:p w:rsidR="00E023A6" w:rsidRPr="00456545" w:rsidRDefault="00E023A6" w:rsidP="00E023A6">
      <w:pPr>
        <w:ind w:left="360"/>
        <w:rPr>
          <w:sz w:val="22"/>
          <w:szCs w:val="24"/>
        </w:rPr>
      </w:pPr>
    </w:p>
    <w:p w:rsidR="00E023A6" w:rsidRPr="00456545" w:rsidRDefault="00E023A6" w:rsidP="00312926">
      <w:pPr>
        <w:rPr>
          <w:b/>
          <w:sz w:val="22"/>
          <w:szCs w:val="24"/>
        </w:rPr>
      </w:pPr>
      <w:r w:rsidRPr="00456545">
        <w:rPr>
          <w:b/>
          <w:sz w:val="22"/>
          <w:szCs w:val="24"/>
        </w:rPr>
        <w:t>Course content sources:</w:t>
      </w:r>
    </w:p>
    <w:p w:rsidR="00E023A6" w:rsidRPr="00456545" w:rsidRDefault="00E023A6" w:rsidP="00312926">
      <w:pPr>
        <w:ind w:left="630" w:hanging="270"/>
        <w:rPr>
          <w:sz w:val="22"/>
          <w:szCs w:val="24"/>
        </w:rPr>
      </w:pPr>
      <w:r w:rsidRPr="00456545">
        <w:rPr>
          <w:sz w:val="22"/>
          <w:szCs w:val="24"/>
        </w:rPr>
        <w:t>1. Content is primarily from a course cartridge or comparable materials provided by a publisher, and requires few revisions by the course developer(s).</w:t>
      </w:r>
    </w:p>
    <w:p w:rsidR="00E023A6" w:rsidRPr="00456545" w:rsidRDefault="00E023A6" w:rsidP="00312926">
      <w:pPr>
        <w:ind w:left="630" w:hanging="270"/>
        <w:rPr>
          <w:sz w:val="22"/>
          <w:szCs w:val="24"/>
        </w:rPr>
      </w:pPr>
      <w:r w:rsidRPr="00456545">
        <w:rPr>
          <w:sz w:val="22"/>
          <w:szCs w:val="24"/>
        </w:rPr>
        <w:t>2. Content is a combination of materials provided by a publisher that require few revisions, and original material created by the course developer(s).</w:t>
      </w:r>
    </w:p>
    <w:p w:rsidR="00E023A6" w:rsidRPr="00456545" w:rsidRDefault="00E023A6" w:rsidP="00312926">
      <w:pPr>
        <w:ind w:left="630" w:hanging="270"/>
        <w:rPr>
          <w:sz w:val="22"/>
          <w:szCs w:val="24"/>
        </w:rPr>
      </w:pPr>
      <w:r w:rsidRPr="00456545">
        <w:rPr>
          <w:sz w:val="22"/>
          <w:szCs w:val="24"/>
        </w:rPr>
        <w:t>3. Almost all content is original material created by the course developer(s).</w:t>
      </w:r>
    </w:p>
    <w:p w:rsidR="003514E3" w:rsidRPr="00340957" w:rsidRDefault="003514E3" w:rsidP="00E023A6">
      <w:pPr>
        <w:ind w:left="360"/>
        <w:rPr>
          <w:rFonts w:ascii="Palatino" w:hAnsi="Palatino"/>
          <w:sz w:val="22"/>
          <w:szCs w:val="22"/>
        </w:rPr>
      </w:pPr>
    </w:p>
    <w:p w:rsidR="00FB51F3" w:rsidRPr="00340957" w:rsidRDefault="00FB51F3">
      <w:pPr>
        <w:rPr>
          <w:rFonts w:ascii="Palatino" w:hAnsi="Palatino"/>
          <w:sz w:val="22"/>
          <w:szCs w:val="22"/>
        </w:rPr>
      </w:pPr>
    </w:p>
    <w:p w:rsidR="00FB51F3" w:rsidRPr="00340957" w:rsidRDefault="00FB51F3" w:rsidP="00FB51F3">
      <w:pPr>
        <w:ind w:left="720"/>
        <w:rPr>
          <w:rFonts w:ascii="Palatino" w:hAnsi="Palatino"/>
          <w:sz w:val="22"/>
          <w:szCs w:val="22"/>
        </w:rPr>
      </w:pPr>
    </w:p>
    <w:p w:rsidR="00FB51F3" w:rsidRPr="00340957" w:rsidRDefault="00E023A6" w:rsidP="00FB51F3">
      <w:pPr>
        <w:rPr>
          <w:rFonts w:ascii="Palatino" w:hAnsi="Palatino"/>
          <w:sz w:val="22"/>
          <w:szCs w:val="22"/>
        </w:rPr>
      </w:pPr>
      <w:r>
        <w:rPr>
          <w:rFonts w:ascii="Palatino" w:hAnsi="Palatino"/>
          <w:sz w:val="22"/>
          <w:szCs w:val="22"/>
        </w:rPr>
        <w:br w:type="page"/>
      </w:r>
    </w:p>
    <w:p w:rsidR="00FB51F3" w:rsidRDefault="00FB51F3">
      <w:pPr>
        <w:rPr>
          <w:rFonts w:ascii="Palatino" w:hAnsi="Palatino"/>
          <w:sz w:val="22"/>
          <w:szCs w:val="22"/>
        </w:rPr>
      </w:pPr>
    </w:p>
    <w:p w:rsidR="00FB51F3" w:rsidRPr="00340957" w:rsidRDefault="00FB51F3" w:rsidP="00FB51F3">
      <w:pPr>
        <w:tabs>
          <w:tab w:val="left" w:pos="5040"/>
        </w:tabs>
        <w:ind w:left="2880" w:hanging="2880"/>
        <w:rPr>
          <w:rFonts w:ascii="Palatino" w:hAnsi="Palatino"/>
          <w:sz w:val="22"/>
          <w:szCs w:val="22"/>
        </w:rPr>
      </w:pPr>
      <w:r w:rsidRPr="00340957">
        <w:rPr>
          <w:rFonts w:ascii="Palatino" w:hAnsi="Palatino"/>
          <w:sz w:val="22"/>
          <w:szCs w:val="22"/>
        </w:rPr>
        <w:t>CINCINNATI STATE TECHNICAL AND</w:t>
      </w:r>
      <w:r w:rsidRPr="00340957">
        <w:rPr>
          <w:rFonts w:ascii="Palatino" w:hAnsi="Palatino"/>
          <w:sz w:val="22"/>
          <w:szCs w:val="22"/>
        </w:rPr>
        <w:tab/>
        <w:t xml:space="preserve">AMERICAN ASSOCIATION OF </w:t>
      </w:r>
    </w:p>
    <w:p w:rsidR="00FB51F3" w:rsidRPr="00340957" w:rsidRDefault="00FB51F3" w:rsidP="00FB51F3">
      <w:pPr>
        <w:tabs>
          <w:tab w:val="left" w:pos="5040"/>
        </w:tabs>
        <w:ind w:left="2880" w:hanging="2880"/>
        <w:rPr>
          <w:rFonts w:ascii="Palatino" w:hAnsi="Palatino"/>
          <w:sz w:val="22"/>
          <w:szCs w:val="22"/>
        </w:rPr>
      </w:pPr>
      <w:r w:rsidRPr="00340957">
        <w:rPr>
          <w:rFonts w:ascii="Palatino" w:hAnsi="Palatino"/>
          <w:sz w:val="22"/>
          <w:szCs w:val="22"/>
        </w:rPr>
        <w:t>COMMUNITY COLLEGE</w:t>
      </w:r>
      <w:r w:rsidRPr="00340957">
        <w:rPr>
          <w:rFonts w:ascii="Palatino" w:hAnsi="Palatino"/>
          <w:sz w:val="22"/>
          <w:szCs w:val="22"/>
        </w:rPr>
        <w:tab/>
      </w:r>
      <w:r w:rsidRPr="00340957">
        <w:rPr>
          <w:rFonts w:ascii="Palatino" w:hAnsi="Palatino"/>
          <w:sz w:val="22"/>
          <w:szCs w:val="22"/>
        </w:rPr>
        <w:tab/>
        <w:t>UNIVERSITY PROFESSORS,</w:t>
      </w:r>
    </w:p>
    <w:p w:rsidR="00FB51F3" w:rsidRPr="00340957" w:rsidRDefault="00FB51F3" w:rsidP="00FB51F3">
      <w:pPr>
        <w:tabs>
          <w:tab w:val="left" w:pos="5040"/>
        </w:tabs>
        <w:rPr>
          <w:rFonts w:ascii="Palatino" w:hAnsi="Palatino"/>
          <w:sz w:val="22"/>
          <w:szCs w:val="22"/>
        </w:rPr>
      </w:pPr>
      <w:r w:rsidRPr="00340957">
        <w:rPr>
          <w:rFonts w:ascii="Palatino" w:hAnsi="Palatino"/>
          <w:sz w:val="22"/>
          <w:szCs w:val="22"/>
        </w:rPr>
        <w:tab/>
        <w:t>CINCINNATI STATE TECHNICAL</w:t>
      </w:r>
    </w:p>
    <w:p w:rsidR="00FB51F3" w:rsidRPr="00340957" w:rsidRDefault="00FB51F3" w:rsidP="00FB51F3">
      <w:pPr>
        <w:tabs>
          <w:tab w:val="left" w:pos="5040"/>
        </w:tabs>
        <w:ind w:left="5040"/>
        <w:rPr>
          <w:rFonts w:ascii="Palatino" w:hAnsi="Palatino"/>
          <w:sz w:val="22"/>
          <w:szCs w:val="22"/>
        </w:rPr>
      </w:pPr>
      <w:r w:rsidRPr="00340957">
        <w:rPr>
          <w:rFonts w:ascii="Palatino" w:hAnsi="Palatino"/>
          <w:sz w:val="22"/>
          <w:szCs w:val="22"/>
        </w:rPr>
        <w:t>AND COMMUNITY COLLEGE CHAPTER</w:t>
      </w:r>
    </w:p>
    <w:p w:rsidR="00FB51F3" w:rsidRPr="00340957" w:rsidRDefault="00FB51F3" w:rsidP="00FB51F3">
      <w:pPr>
        <w:tabs>
          <w:tab w:val="left" w:pos="5040"/>
        </w:tabs>
        <w:ind w:left="5040"/>
        <w:rPr>
          <w:rFonts w:ascii="Palatino" w:hAnsi="Palatino"/>
          <w:sz w:val="22"/>
          <w:szCs w:val="22"/>
        </w:rPr>
      </w:pPr>
    </w:p>
    <w:p w:rsidR="00FB51F3" w:rsidRPr="00340957" w:rsidRDefault="00FB51F3" w:rsidP="00FB51F3">
      <w:pPr>
        <w:tabs>
          <w:tab w:val="left" w:pos="5040"/>
        </w:tabs>
        <w:rPr>
          <w:rFonts w:ascii="Palatino" w:hAnsi="Palatino"/>
          <w:sz w:val="22"/>
          <w:szCs w:val="22"/>
        </w:rPr>
      </w:pPr>
    </w:p>
    <w:p w:rsidR="00FB51F3" w:rsidRPr="00340957" w:rsidRDefault="00FB51F3" w:rsidP="00FB51F3">
      <w:pPr>
        <w:tabs>
          <w:tab w:val="left" w:pos="5040"/>
        </w:tabs>
        <w:rPr>
          <w:rFonts w:ascii="Palatino" w:hAnsi="Palatino"/>
          <w:sz w:val="22"/>
          <w:szCs w:val="22"/>
        </w:rPr>
      </w:pPr>
      <w:r w:rsidRPr="00340957">
        <w:rPr>
          <w:rFonts w:ascii="Palatino" w:hAnsi="Palatino"/>
          <w:sz w:val="22"/>
          <w:szCs w:val="22"/>
        </w:rPr>
        <w:t>_____________________________</w:t>
      </w:r>
      <w:r w:rsidRPr="00340957">
        <w:rPr>
          <w:rFonts w:ascii="Palatino" w:hAnsi="Palatino"/>
          <w:sz w:val="22"/>
          <w:szCs w:val="22"/>
        </w:rPr>
        <w:tab/>
        <w:t>______________________________</w:t>
      </w:r>
    </w:p>
    <w:p w:rsidR="00FB51F3" w:rsidRPr="00340957" w:rsidRDefault="00FB51F3" w:rsidP="00FB51F3">
      <w:pPr>
        <w:tabs>
          <w:tab w:val="left" w:pos="5040"/>
        </w:tabs>
        <w:rPr>
          <w:rFonts w:ascii="Palatino" w:hAnsi="Palatino"/>
          <w:sz w:val="22"/>
          <w:szCs w:val="22"/>
        </w:rPr>
      </w:pPr>
      <w:proofErr w:type="spellStart"/>
      <w:r>
        <w:rPr>
          <w:rFonts w:ascii="Palatino" w:hAnsi="Palatino"/>
          <w:sz w:val="22"/>
          <w:szCs w:val="22"/>
        </w:rPr>
        <w:t>O’dell</w:t>
      </w:r>
      <w:proofErr w:type="spellEnd"/>
      <w:r>
        <w:rPr>
          <w:rFonts w:ascii="Palatino" w:hAnsi="Palatino"/>
          <w:sz w:val="22"/>
          <w:szCs w:val="22"/>
        </w:rPr>
        <w:t xml:space="preserve"> M. Owens, MD, MPH</w:t>
      </w:r>
      <w:r w:rsidRPr="00340957">
        <w:rPr>
          <w:rFonts w:ascii="Palatino" w:hAnsi="Palatino"/>
          <w:sz w:val="22"/>
          <w:szCs w:val="22"/>
        </w:rPr>
        <w:tab/>
        <w:t xml:space="preserve">David S. </w:t>
      </w:r>
      <w:proofErr w:type="spellStart"/>
      <w:r w:rsidRPr="00340957">
        <w:rPr>
          <w:rFonts w:ascii="Palatino" w:hAnsi="Palatino"/>
          <w:sz w:val="22"/>
          <w:szCs w:val="22"/>
        </w:rPr>
        <w:t>Simmermon</w:t>
      </w:r>
      <w:proofErr w:type="spellEnd"/>
    </w:p>
    <w:p w:rsidR="00FB51F3" w:rsidRPr="00340957" w:rsidRDefault="00FB51F3" w:rsidP="00FB51F3">
      <w:pPr>
        <w:tabs>
          <w:tab w:val="left" w:pos="5040"/>
        </w:tabs>
        <w:rPr>
          <w:rFonts w:ascii="Palatino" w:hAnsi="Palatino"/>
          <w:sz w:val="22"/>
          <w:szCs w:val="22"/>
        </w:rPr>
      </w:pPr>
      <w:r>
        <w:rPr>
          <w:rFonts w:ascii="Palatino" w:hAnsi="Palatino"/>
          <w:sz w:val="22"/>
          <w:szCs w:val="22"/>
        </w:rPr>
        <w:t>President</w:t>
      </w:r>
      <w:r w:rsidRPr="00340957">
        <w:rPr>
          <w:rFonts w:ascii="Palatino" w:hAnsi="Palatino"/>
          <w:sz w:val="22"/>
          <w:szCs w:val="22"/>
        </w:rPr>
        <w:tab/>
        <w:t>President</w:t>
      </w:r>
    </w:p>
    <w:p w:rsidR="00FB51F3" w:rsidRPr="00340957" w:rsidRDefault="00FB51F3" w:rsidP="00FB51F3">
      <w:pPr>
        <w:tabs>
          <w:tab w:val="left" w:pos="5040"/>
        </w:tabs>
        <w:rPr>
          <w:rFonts w:ascii="Palatino" w:hAnsi="Palatino"/>
          <w:sz w:val="22"/>
          <w:szCs w:val="22"/>
        </w:rPr>
      </w:pPr>
    </w:p>
    <w:p w:rsidR="00FB51F3" w:rsidRPr="00340957" w:rsidRDefault="00FB51F3" w:rsidP="00FB51F3">
      <w:pPr>
        <w:tabs>
          <w:tab w:val="left" w:pos="5040"/>
        </w:tabs>
        <w:rPr>
          <w:rFonts w:ascii="Palatino" w:hAnsi="Palatino"/>
          <w:sz w:val="22"/>
          <w:szCs w:val="22"/>
        </w:rPr>
      </w:pPr>
    </w:p>
    <w:p w:rsidR="00FB51F3" w:rsidRDefault="00FB51F3">
      <w:pPr>
        <w:rPr>
          <w:rFonts w:ascii="Palatino" w:hAnsi="Palatino"/>
          <w:sz w:val="22"/>
          <w:szCs w:val="22"/>
        </w:rPr>
      </w:pPr>
    </w:p>
    <w:sectPr w:rsidR="00FB51F3" w:rsidSect="00FB51F3">
      <w:headerReference w:type="default" r:id="rId7"/>
      <w:footerReference w:type="default" r:id="rId8"/>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29E" w:rsidRDefault="0033529E" w:rsidP="00FB51F3">
      <w:r>
        <w:separator/>
      </w:r>
    </w:p>
  </w:endnote>
  <w:endnote w:type="continuationSeparator" w:id="0">
    <w:p w:rsidR="0033529E" w:rsidRDefault="0033529E" w:rsidP="00FB51F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9E" w:rsidRPr="002967A5" w:rsidRDefault="0033529E" w:rsidP="00FB51F3">
    <w:pPr>
      <w:pStyle w:val="Footer"/>
      <w:jc w:val="center"/>
      <w:rPr>
        <w:sz w:val="20"/>
      </w:rPr>
    </w:pPr>
    <w:r w:rsidRPr="002967A5">
      <w:rPr>
        <w:rStyle w:val="PageNumber"/>
        <w:sz w:val="20"/>
      </w:rPr>
      <w:fldChar w:fldCharType="begin"/>
    </w:r>
    <w:r w:rsidRPr="002967A5">
      <w:rPr>
        <w:rStyle w:val="PageNumber"/>
        <w:sz w:val="20"/>
      </w:rPr>
      <w:instrText xml:space="preserve"> PAGE </w:instrText>
    </w:r>
    <w:r w:rsidRPr="002967A5">
      <w:rPr>
        <w:rStyle w:val="PageNumber"/>
        <w:sz w:val="20"/>
      </w:rPr>
      <w:fldChar w:fldCharType="separate"/>
    </w:r>
    <w:r w:rsidR="00C75A07">
      <w:rPr>
        <w:rStyle w:val="PageNumber"/>
        <w:noProof/>
        <w:sz w:val="20"/>
      </w:rPr>
      <w:t>1</w:t>
    </w:r>
    <w:r w:rsidRPr="002967A5">
      <w:rPr>
        <w:rStyle w:val="PageNumber"/>
        <w:sz w:val="2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29E" w:rsidRDefault="0033529E" w:rsidP="00FB51F3">
      <w:r>
        <w:separator/>
      </w:r>
    </w:p>
  </w:footnote>
  <w:footnote w:type="continuationSeparator" w:id="0">
    <w:p w:rsidR="0033529E" w:rsidRDefault="0033529E" w:rsidP="00FB51F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9E" w:rsidRPr="002967A5" w:rsidRDefault="0033529E" w:rsidP="00FB51F3">
    <w:pPr>
      <w:pStyle w:val="Header"/>
      <w:jc w:val="center"/>
      <w:rPr>
        <w:sz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255D"/>
    <w:multiLevelType w:val="hybridMultilevel"/>
    <w:tmpl w:val="1AC2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17E37"/>
    <w:multiLevelType w:val="hybridMultilevel"/>
    <w:tmpl w:val="34BC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24F67"/>
    <w:multiLevelType w:val="hybridMultilevel"/>
    <w:tmpl w:val="BE74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97752"/>
    <w:multiLevelType w:val="hybridMultilevel"/>
    <w:tmpl w:val="C9D8E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BF6032"/>
    <w:multiLevelType w:val="hybridMultilevel"/>
    <w:tmpl w:val="47E0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52735"/>
    <w:multiLevelType w:val="hybridMultilevel"/>
    <w:tmpl w:val="B616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6D45E3"/>
    <w:multiLevelType w:val="hybridMultilevel"/>
    <w:tmpl w:val="8C564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84921"/>
    <w:multiLevelType w:val="hybridMultilevel"/>
    <w:tmpl w:val="2826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A21C22"/>
    <w:multiLevelType w:val="hybridMultilevel"/>
    <w:tmpl w:val="457A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F71C2F"/>
    <w:multiLevelType w:val="hybridMultilevel"/>
    <w:tmpl w:val="C07A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C22341"/>
    <w:multiLevelType w:val="hybridMultilevel"/>
    <w:tmpl w:val="635C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1"/>
  </w:num>
  <w:num w:numId="6">
    <w:abstractNumId w:val="8"/>
  </w:num>
  <w:num w:numId="7">
    <w:abstractNumId w:val="0"/>
  </w:num>
  <w:num w:numId="8">
    <w:abstractNumId w:val="9"/>
  </w:num>
  <w:num w:numId="9">
    <w:abstractNumId w:val="10"/>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454B"/>
    <w:rsid w:val="003007E0"/>
    <w:rsid w:val="00312926"/>
    <w:rsid w:val="0033529E"/>
    <w:rsid w:val="003514E3"/>
    <w:rsid w:val="00404B53"/>
    <w:rsid w:val="00456545"/>
    <w:rsid w:val="00535A4F"/>
    <w:rsid w:val="0067454B"/>
    <w:rsid w:val="0073113B"/>
    <w:rsid w:val="009002E9"/>
    <w:rsid w:val="00B95AC8"/>
    <w:rsid w:val="00C01645"/>
    <w:rsid w:val="00C10CD4"/>
    <w:rsid w:val="00C75A07"/>
    <w:rsid w:val="00E023A6"/>
    <w:rsid w:val="00FB51F3"/>
  </w:rsids>
  <m:mathPr>
    <m:mathFont m:val="Impact"/>
    <m:brkBin m:val="before"/>
    <m:brkBinSub m:val="--"/>
    <m:smallFrac/>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4B"/>
    <w:rPr>
      <w:rFonts w:ascii="Times" w:eastAsia="Times" w:hAnsi="Time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uiPriority w:val="99"/>
    <w:semiHidden/>
    <w:unhideWhenUsed/>
    <w:rsid w:val="0067454B"/>
    <w:rPr>
      <w:sz w:val="18"/>
      <w:szCs w:val="18"/>
    </w:rPr>
  </w:style>
  <w:style w:type="paragraph" w:styleId="CommentText">
    <w:name w:val="annotation text"/>
    <w:basedOn w:val="Normal"/>
    <w:link w:val="CommentTextChar"/>
    <w:uiPriority w:val="99"/>
    <w:semiHidden/>
    <w:unhideWhenUsed/>
    <w:rsid w:val="0067454B"/>
    <w:rPr>
      <w:szCs w:val="24"/>
    </w:rPr>
  </w:style>
  <w:style w:type="character" w:customStyle="1" w:styleId="CommentTextChar">
    <w:name w:val="Comment Text Char"/>
    <w:basedOn w:val="DefaultParagraphFont"/>
    <w:link w:val="CommentText"/>
    <w:uiPriority w:val="99"/>
    <w:semiHidden/>
    <w:rsid w:val="0067454B"/>
    <w:rPr>
      <w:rFonts w:ascii="Times" w:eastAsia="Times" w:hAnsi="Times" w:cs="Times New Roman"/>
    </w:rPr>
  </w:style>
  <w:style w:type="paragraph" w:styleId="BalloonText">
    <w:name w:val="Balloon Text"/>
    <w:basedOn w:val="Normal"/>
    <w:link w:val="BalloonTextChar"/>
    <w:uiPriority w:val="99"/>
    <w:semiHidden/>
    <w:unhideWhenUsed/>
    <w:rsid w:val="006745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54B"/>
    <w:rPr>
      <w:rFonts w:ascii="Lucida Grande" w:eastAsia="Times" w:hAnsi="Lucida Grande" w:cs="Lucida Grande"/>
      <w:sz w:val="18"/>
      <w:szCs w:val="18"/>
    </w:rPr>
  </w:style>
  <w:style w:type="paragraph" w:styleId="ListParagraph">
    <w:name w:val="List Paragraph"/>
    <w:basedOn w:val="Normal"/>
    <w:uiPriority w:val="34"/>
    <w:qFormat/>
    <w:rsid w:val="0072230E"/>
    <w:pPr>
      <w:ind w:left="720"/>
      <w:contextualSpacing/>
    </w:pPr>
  </w:style>
  <w:style w:type="paragraph" w:styleId="Header">
    <w:name w:val="header"/>
    <w:basedOn w:val="Normal"/>
    <w:link w:val="HeaderChar"/>
    <w:uiPriority w:val="99"/>
    <w:unhideWhenUsed/>
    <w:rsid w:val="002967A5"/>
    <w:pPr>
      <w:tabs>
        <w:tab w:val="center" w:pos="4320"/>
        <w:tab w:val="right" w:pos="8640"/>
      </w:tabs>
    </w:pPr>
  </w:style>
  <w:style w:type="character" w:customStyle="1" w:styleId="HeaderChar">
    <w:name w:val="Header Char"/>
    <w:basedOn w:val="DefaultParagraphFont"/>
    <w:link w:val="Header"/>
    <w:uiPriority w:val="99"/>
    <w:rsid w:val="002967A5"/>
    <w:rPr>
      <w:rFonts w:ascii="Times" w:eastAsia="Times" w:hAnsi="Times" w:cs="Times New Roman"/>
      <w:szCs w:val="20"/>
    </w:rPr>
  </w:style>
  <w:style w:type="paragraph" w:styleId="Footer">
    <w:name w:val="footer"/>
    <w:basedOn w:val="Normal"/>
    <w:link w:val="FooterChar"/>
    <w:uiPriority w:val="99"/>
    <w:unhideWhenUsed/>
    <w:rsid w:val="002967A5"/>
    <w:pPr>
      <w:tabs>
        <w:tab w:val="center" w:pos="4320"/>
        <w:tab w:val="right" w:pos="8640"/>
      </w:tabs>
    </w:pPr>
  </w:style>
  <w:style w:type="character" w:customStyle="1" w:styleId="FooterChar">
    <w:name w:val="Footer Char"/>
    <w:basedOn w:val="DefaultParagraphFont"/>
    <w:link w:val="Footer"/>
    <w:uiPriority w:val="99"/>
    <w:rsid w:val="002967A5"/>
    <w:rPr>
      <w:rFonts w:ascii="Times" w:eastAsia="Times" w:hAnsi="Times" w:cs="Times New Roman"/>
      <w:szCs w:val="20"/>
    </w:rPr>
  </w:style>
  <w:style w:type="character" w:styleId="PageNumber">
    <w:name w:val="page number"/>
    <w:basedOn w:val="DefaultParagraphFont"/>
    <w:uiPriority w:val="99"/>
    <w:semiHidden/>
    <w:unhideWhenUsed/>
    <w:rsid w:val="002967A5"/>
  </w:style>
  <w:style w:type="paragraph" w:styleId="CommentSubject">
    <w:name w:val="annotation subject"/>
    <w:basedOn w:val="CommentText"/>
    <w:next w:val="CommentText"/>
    <w:link w:val="CommentSubjectChar"/>
    <w:uiPriority w:val="99"/>
    <w:semiHidden/>
    <w:unhideWhenUsed/>
    <w:rsid w:val="00B72A7A"/>
    <w:rPr>
      <w:b/>
      <w:bCs/>
      <w:sz w:val="20"/>
      <w:szCs w:val="20"/>
    </w:rPr>
  </w:style>
  <w:style w:type="character" w:customStyle="1" w:styleId="CommentSubjectChar">
    <w:name w:val="Comment Subject Char"/>
    <w:basedOn w:val="CommentTextChar"/>
    <w:link w:val="CommentSubject"/>
    <w:uiPriority w:val="99"/>
    <w:semiHidden/>
    <w:rsid w:val="00B72A7A"/>
    <w:rPr>
      <w:rFonts w:ascii="Times" w:eastAsia="Times" w:hAnsi="Times" w:cs="Times New Roman"/>
      <w:b/>
      <w:bCs/>
      <w:sz w:val="20"/>
      <w:szCs w:val="20"/>
    </w:rPr>
  </w:style>
  <w:style w:type="table" w:styleId="TableGrid">
    <w:name w:val="Table Grid"/>
    <w:basedOn w:val="TableNormal"/>
    <w:uiPriority w:val="59"/>
    <w:rsid w:val="00E023A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456</Words>
  <Characters>2603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Cincinnati State College</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Ecker</dc:creator>
  <cp:keywords/>
  <cp:lastModifiedBy>PS Ecker</cp:lastModifiedBy>
  <cp:revision>5</cp:revision>
  <cp:lastPrinted>2013-03-01T21:17:00Z</cp:lastPrinted>
  <dcterms:created xsi:type="dcterms:W3CDTF">2013-02-24T20:42:00Z</dcterms:created>
  <dcterms:modified xsi:type="dcterms:W3CDTF">2013-03-01T21:18:00Z</dcterms:modified>
</cp:coreProperties>
</file>